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FC52B">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14:paraId="4A0C07D8">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14:paraId="4A95C1CF">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412</w:t>
      </w:r>
      <w:r>
        <w:rPr>
          <w:rFonts w:hint="eastAsia" w:ascii="仿宋" w:hAnsi="仿宋" w:eastAsia="仿宋" w:cs="仿宋"/>
          <w:sz w:val="32"/>
          <w:szCs w:val="32"/>
        </w:rPr>
        <w:t>号</w:t>
      </w:r>
    </w:p>
    <w:p w14:paraId="5E07F8C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w:t>
      </w:r>
      <w:r>
        <w:rPr>
          <w:rFonts w:hint="eastAsia" w:ascii="仿宋_GB2312" w:hAnsi="仿宋_GB2312" w:eastAsia="仿宋_GB2312" w:cs="仿宋_GB2312"/>
          <w:sz w:val="32"/>
          <w:szCs w:val="32"/>
          <w:u w:val="single"/>
        </w:rPr>
        <w:t xml:space="preserve">  晋江市东石镇小刻饮品店                                          </w:t>
      </w:r>
      <w:r>
        <w:rPr>
          <w:rFonts w:hint="eastAsia" w:ascii="仿宋_GB2312" w:hAnsi="仿宋_GB2312" w:eastAsia="仿宋_GB2312" w:cs="仿宋_GB2312"/>
          <w:sz w:val="32"/>
          <w:szCs w:val="32"/>
        </w:rPr>
        <w:t xml:space="preserve"> 主体资格证照名称：</w:t>
      </w:r>
      <w:r>
        <w:rPr>
          <w:rFonts w:hint="eastAsia" w:ascii="仿宋_GB2312" w:hAnsi="仿宋_GB2312" w:eastAsia="仿宋_GB2312" w:cs="仿宋_GB2312"/>
          <w:sz w:val="32"/>
          <w:szCs w:val="32"/>
          <w:u w:val="single"/>
        </w:rPr>
        <w:t xml:space="preserve">  营业执照                               </w:t>
      </w:r>
      <w:r>
        <w:rPr>
          <w:rFonts w:hint="eastAsia" w:ascii="仿宋_GB2312" w:hAnsi="仿宋_GB2312" w:eastAsia="仿宋_GB2312" w:cs="仿宋_GB2312"/>
          <w:sz w:val="32"/>
          <w:szCs w:val="32"/>
        </w:rPr>
        <w:t xml:space="preserve"> 统一社会信用代码：</w:t>
      </w:r>
      <w:r>
        <w:rPr>
          <w:rFonts w:hint="eastAsia" w:ascii="仿宋_GB2312" w:hAnsi="仿宋_GB2312" w:eastAsia="仿宋_GB2312" w:cs="仿宋_GB2312"/>
          <w:sz w:val="32"/>
          <w:szCs w:val="32"/>
          <w:u w:val="single"/>
        </w:rPr>
        <w:t xml:space="preserve">  92350582MA341NLB88                         </w:t>
      </w:r>
      <w:r>
        <w:rPr>
          <w:rFonts w:hint="eastAsia" w:ascii="仿宋_GB2312" w:hAnsi="仿宋_GB2312" w:eastAsia="仿宋_GB2312" w:cs="仿宋_GB2312"/>
          <w:sz w:val="32"/>
          <w:szCs w:val="32"/>
        </w:rPr>
        <w:t xml:space="preserve"> 住所（住址）：</w:t>
      </w:r>
      <w:r>
        <w:rPr>
          <w:rFonts w:hint="eastAsia" w:ascii="仿宋_GB2312" w:hAnsi="仿宋_GB2312" w:eastAsia="仿宋_GB2312" w:cs="仿宋_GB2312"/>
          <w:sz w:val="32"/>
          <w:szCs w:val="32"/>
          <w:u w:val="single"/>
          <w:lang w:val="en-US" w:eastAsia="zh-CN"/>
        </w:rPr>
        <w:t xml:space="preserve"> 福建省晋江市东石镇**路**号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14:paraId="2BA7632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法定代表人（负责人、经营者）：</w:t>
      </w:r>
      <w:r>
        <w:rPr>
          <w:rFonts w:hint="eastAsia" w:ascii="仿宋_GB2312" w:hAnsi="仿宋_GB2312" w:eastAsia="仿宋_GB2312" w:cs="仿宋_GB2312"/>
          <w:sz w:val="32"/>
          <w:szCs w:val="32"/>
          <w:u w:val="single"/>
        </w:rPr>
        <w:t xml:space="preserve"> 杨丽云                               </w:t>
      </w:r>
      <w:r>
        <w:rPr>
          <w:rFonts w:hint="eastAsia" w:ascii="仿宋_GB2312" w:hAnsi="仿宋_GB2312" w:eastAsia="仿宋_GB2312" w:cs="仿宋_GB2312"/>
          <w:sz w:val="32"/>
          <w:szCs w:val="32"/>
        </w:rPr>
        <w:t xml:space="preserve"> </w:t>
      </w:r>
    </w:p>
    <w:p w14:paraId="6EFA1B29">
      <w:pPr>
        <w:keepNext w:val="0"/>
        <w:keepLines w:val="0"/>
        <w:pageBreakBefore w:val="0"/>
        <w:widowControl w:val="0"/>
        <w:kinsoku/>
        <w:wordWrap w:val="0"/>
        <w:overflowPunct/>
        <w:topLinePunct w:val="0"/>
        <w:autoSpaceDE w:val="0"/>
        <w:autoSpaceDN w:val="0"/>
        <w:bidi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2026年6月16日，我局执法人员根据福建省晋江市市场监督管理局下发的《网络餐饮检查汇总表东石所》线索，依法对位于</w:t>
      </w:r>
      <w:r>
        <w:rPr>
          <w:rFonts w:hint="eastAsia" w:ascii="仿宋_GB2312" w:hAnsi="仿宋_GB2312" w:eastAsia="仿宋_GB2312" w:cs="仿宋_GB2312"/>
          <w:sz w:val="32"/>
          <w:szCs w:val="32"/>
          <w:lang w:val="en-US" w:eastAsia="zh-CN"/>
        </w:rPr>
        <w:t>经营场所</w:t>
      </w:r>
      <w:r>
        <w:rPr>
          <w:rFonts w:hint="eastAsia" w:ascii="仿宋_GB2312" w:hAnsi="仿宋_GB2312" w:eastAsia="仿宋_GB2312" w:cs="仿宋_GB2312"/>
          <w:sz w:val="32"/>
          <w:szCs w:val="32"/>
        </w:rPr>
        <w:t>进行检查，该店经营场所面积35平方米，从业人员1名。当事人提供的营业执照和食品经营许可证登记的地址为福建省晋江市东石镇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路</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号。当事人对从业人员黄芊慧无健康证情况表示该人员系暑假工现已离职。执法人员现场核查该店操作区、原料储存区问题情况，均已整改完毕。当事人其行为涉嫌违反了《中华人民共和国市场主体登记管理条例》第四十六条及《福建省食品安全条例》第六十七条第一款的规定，执法人员经报领导批准，对当事人的主要工具奶茶桶1个、小料桶1个、勺子1个、20个一次性奶茶杯予以扣押，并于2026年6月23日立案调查。</w:t>
      </w:r>
    </w:p>
    <w:p w14:paraId="4723BA83">
      <w:pPr>
        <w:keepNext w:val="0"/>
        <w:keepLines w:val="0"/>
        <w:pageBreakBefore w:val="0"/>
        <w:widowControl w:val="0"/>
        <w:tabs>
          <w:tab w:val="left" w:pos="5040"/>
        </w:tabs>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_GB2312"/>
          <w:sz w:val="32"/>
          <w:szCs w:val="32"/>
        </w:rPr>
      </w:pPr>
      <w:r>
        <w:rPr>
          <w:rFonts w:hint="eastAsia" w:ascii="仿宋_GB2312" w:hAnsi="仿宋_GB2312" w:eastAsia="仿宋_GB2312" w:cs="仿宋_GB2312"/>
          <w:sz w:val="32"/>
          <w:szCs w:val="32"/>
        </w:rPr>
        <w:t>经核实，</w:t>
      </w:r>
      <w:r>
        <w:rPr>
          <w:rFonts w:hint="eastAsia" w:ascii="仿宋_GB2312" w:hAnsi="仿宋_GB2312" w:eastAsia="仿宋_GB2312" w:cs="仿宋_GB2312"/>
          <w:sz w:val="32"/>
          <w:szCs w:val="32"/>
          <w:lang w:val="en-US" w:eastAsia="zh-CN"/>
        </w:rPr>
        <w:t>执法人员核查当事人营业执照和食品经营许可证登记地址为福建省晋江市东石镇**路**号，实际经营地址为</w:t>
      </w:r>
      <w:r>
        <w:rPr>
          <w:rFonts w:hint="eastAsia" w:ascii="仿宋_GB2312" w:hAnsi="仿宋_GB2312" w:eastAsia="仿宋_GB2312" w:cs="仿宋_GB2312"/>
          <w:sz w:val="32"/>
          <w:szCs w:val="32"/>
        </w:rPr>
        <w:t>福建省晋江市东石镇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路</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bookmarkStart w:id="0" w:name="_Hlk121995979"/>
      <w:r>
        <w:rPr>
          <w:rFonts w:hint="eastAsia" w:ascii="仿宋_GB2312" w:hAnsi="仿宋_GB2312" w:eastAsia="仿宋_GB2312" w:cs="仿宋_GB2312"/>
          <w:sz w:val="32"/>
          <w:szCs w:val="32"/>
          <w:lang w:val="en-US" w:eastAsia="zh-CN"/>
        </w:rPr>
        <w:t>属</w:t>
      </w:r>
      <w:r>
        <w:rPr>
          <w:rFonts w:hint="eastAsia" w:ascii="仿宋_GB2312" w:hAnsi="仿宋_GB2312" w:eastAsia="仿宋_GB2312" w:cs="仿宋_GB2312"/>
          <w:sz w:val="32"/>
          <w:szCs w:val="32"/>
        </w:rPr>
        <w:t>市场主体登记事项发生变更时未依法办理变更登记及未取得登记证书从事小餐饮服务</w:t>
      </w:r>
      <w:r>
        <w:rPr>
          <w:rFonts w:hint="eastAsia" w:ascii="仿宋_GB2312" w:hAnsi="仿宋_GB2312" w:eastAsia="仿宋_GB2312" w:cs="仿宋_GB2312"/>
          <w:sz w:val="32"/>
          <w:szCs w:val="32"/>
          <w:lang w:eastAsia="zh-CN"/>
        </w:rPr>
        <w:t>。</w:t>
      </w:r>
      <w:r>
        <w:rPr>
          <w:rFonts w:hint="eastAsia" w:ascii="仿宋_GB2312" w:hAnsi="宋体" w:eastAsia="仿宋_GB2312"/>
          <w:sz w:val="32"/>
          <w:szCs w:val="32"/>
        </w:rPr>
        <w:t>当事人</w:t>
      </w:r>
      <w:r>
        <w:rPr>
          <w:rFonts w:hint="eastAsia" w:ascii="仿宋_GB2312" w:hAnsi="宋体" w:eastAsia="仿宋_GB2312"/>
          <w:sz w:val="32"/>
          <w:szCs w:val="32"/>
          <w:lang w:val="en-US" w:eastAsia="zh-CN"/>
        </w:rPr>
        <w:t>在</w:t>
      </w:r>
      <w:r>
        <w:rPr>
          <w:rFonts w:hint="eastAsia" w:ascii="仿宋_GB2312" w:hAnsi="宋体" w:eastAsia="仿宋_GB2312"/>
          <w:sz w:val="32"/>
          <w:szCs w:val="32"/>
        </w:rPr>
        <w:t>未办理相关证照的情况下，擅自于</w:t>
      </w:r>
      <w:r>
        <w:rPr>
          <w:rFonts w:hint="eastAsia" w:ascii="仿宋_GB2312" w:hAnsi="宋体" w:eastAsia="仿宋_GB2312"/>
          <w:sz w:val="32"/>
          <w:szCs w:val="32"/>
          <w:lang w:val="en-US" w:eastAsia="zh-CN"/>
        </w:rPr>
        <w:t>2026</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w:t>
      </w:r>
      <w:r>
        <w:rPr>
          <w:rFonts w:hint="eastAsia" w:ascii="仿宋_GB2312" w:hAnsi="宋体" w:eastAsia="仿宋_GB2312"/>
          <w:sz w:val="32"/>
          <w:szCs w:val="32"/>
          <w:lang w:val="en-US" w:eastAsia="zh-CN"/>
        </w:rPr>
        <w:t>11日</w:t>
      </w:r>
      <w:r>
        <w:rPr>
          <w:rFonts w:hint="eastAsia" w:ascii="仿宋_GB2312" w:hAnsi="宋体" w:eastAsia="仿宋_GB2312"/>
          <w:sz w:val="32"/>
          <w:szCs w:val="32"/>
        </w:rPr>
        <w:t>开始，在其租赁的位于福建省晋江市东石镇</w:t>
      </w:r>
      <w:r>
        <w:rPr>
          <w:rFonts w:hint="eastAsia" w:ascii="仿宋_GB2312" w:hAnsi="宋体" w:eastAsia="仿宋_GB2312"/>
          <w:sz w:val="32"/>
          <w:szCs w:val="32"/>
          <w:lang w:val="en-US" w:eastAsia="zh-CN"/>
        </w:rPr>
        <w:t>**</w:t>
      </w:r>
      <w:r>
        <w:rPr>
          <w:rFonts w:hint="eastAsia" w:ascii="仿宋_GB2312" w:hAnsi="宋体" w:eastAsia="仿宋_GB2312"/>
          <w:sz w:val="32"/>
          <w:szCs w:val="32"/>
        </w:rPr>
        <w:t>路</w:t>
      </w:r>
      <w:r>
        <w:rPr>
          <w:rFonts w:hint="eastAsia" w:ascii="仿宋_GB2312" w:hAnsi="宋体" w:eastAsia="仿宋_GB2312"/>
          <w:sz w:val="32"/>
          <w:szCs w:val="32"/>
          <w:lang w:val="en-US" w:eastAsia="zh-CN"/>
        </w:rPr>
        <w:t>**</w:t>
      </w:r>
      <w:r>
        <w:rPr>
          <w:rFonts w:hint="eastAsia" w:ascii="仿宋_GB2312" w:hAnsi="宋体" w:eastAsia="仿宋_GB2312"/>
          <w:sz w:val="32"/>
          <w:szCs w:val="32"/>
        </w:rPr>
        <w:t>号从事餐饮服务经营活动，</w:t>
      </w:r>
      <w:r>
        <w:rPr>
          <w:rFonts w:hint="eastAsia" w:ascii="仿宋_GB2312" w:hAnsi="宋体" w:eastAsia="仿宋_GB2312" w:cs="仿宋_GB2312"/>
          <w:sz w:val="32"/>
          <w:szCs w:val="32"/>
        </w:rPr>
        <w:t>当事人从事餐饮服务的场所面积小，从业人员少，提供即做即食的餐饮服务，符合《福建小餐饮登记办法》规定的小餐饮服务</w:t>
      </w:r>
      <w:r>
        <w:rPr>
          <w:rFonts w:hint="eastAsia" w:ascii="仿宋_GB2312" w:hAnsi="宋体" w:eastAsia="仿宋_GB2312"/>
          <w:sz w:val="32"/>
          <w:szCs w:val="32"/>
        </w:rPr>
        <w:t>。截止至被查获时止，违法经营额</w:t>
      </w:r>
      <w:r>
        <w:rPr>
          <w:rFonts w:hint="eastAsia" w:ascii="仿宋_GB2312" w:hAnsi="宋体" w:eastAsia="仿宋_GB2312"/>
          <w:sz w:val="32"/>
          <w:szCs w:val="32"/>
          <w:lang w:val="en-US" w:eastAsia="zh-CN"/>
        </w:rPr>
        <w:t>485</w:t>
      </w:r>
      <w:r>
        <w:rPr>
          <w:rFonts w:hint="eastAsia" w:ascii="仿宋_GB2312" w:hAnsi="宋体" w:eastAsia="仿宋_GB2312"/>
          <w:sz w:val="32"/>
          <w:szCs w:val="32"/>
        </w:rPr>
        <w:t>元，据此认定，本案违法所得</w:t>
      </w:r>
      <w:r>
        <w:rPr>
          <w:rFonts w:hint="eastAsia" w:ascii="仿宋_GB2312" w:hAnsi="宋体" w:eastAsia="仿宋_GB2312"/>
          <w:sz w:val="32"/>
          <w:szCs w:val="32"/>
          <w:lang w:val="en-US" w:eastAsia="zh-CN"/>
        </w:rPr>
        <w:t>485</w:t>
      </w:r>
      <w:r>
        <w:rPr>
          <w:rFonts w:hint="eastAsia" w:ascii="仿宋_GB2312" w:hAnsi="宋体" w:eastAsia="仿宋_GB2312"/>
          <w:sz w:val="32"/>
          <w:szCs w:val="32"/>
        </w:rPr>
        <w:t>元</w:t>
      </w:r>
      <w:bookmarkEnd w:id="0"/>
      <w:r>
        <w:rPr>
          <w:rFonts w:hint="eastAsia" w:ascii="仿宋_GB2312" w:hAnsi="宋体" w:eastAsia="仿宋_GB2312"/>
          <w:sz w:val="32"/>
          <w:szCs w:val="32"/>
        </w:rPr>
        <w:t>。</w:t>
      </w:r>
    </w:p>
    <w:p w14:paraId="1722B4F8">
      <w:pPr>
        <w:keepNext w:val="0"/>
        <w:keepLines w:val="0"/>
        <w:pageBreakBefore w:val="0"/>
        <w:widowControl w:val="0"/>
        <w:kinsoku/>
        <w:wordWrap w:val="0"/>
        <w:overflowPunct/>
        <w:topLinePunct w:val="0"/>
        <w:autoSpaceDE w:val="0"/>
        <w:autoSpaceDN w:val="0"/>
        <w:bidi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宋体" w:eastAsia="仿宋_GB2312"/>
          <w:sz w:val="32"/>
          <w:szCs w:val="32"/>
          <w:lang w:val="en-US" w:eastAsia="zh-CN"/>
        </w:rPr>
        <w:t>执法人员查询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福建省人民政府关于印发《福建省市场主体住所（经营场所）登记管理办法》的通知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通过福建省生产监管智慧应用一体化平台核对当事人实际经营地址</w:t>
      </w:r>
      <w:r>
        <w:rPr>
          <w:rFonts w:hint="eastAsia" w:ascii="仿宋_GB2312" w:hAnsi="仿宋_GB2312" w:eastAsia="仿宋_GB2312" w:cs="仿宋_GB2312"/>
          <w:sz w:val="32"/>
          <w:szCs w:val="32"/>
        </w:rPr>
        <w:t>福建省晋江市东石镇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路</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，该地址在住建局下发的石结构名单内，</w:t>
      </w:r>
      <w:r>
        <w:rPr>
          <w:rFonts w:hint="eastAsia" w:ascii="仿宋_GB2312" w:hAnsi="仿宋_GB2312" w:eastAsia="仿宋_GB2312" w:cs="仿宋_GB2312"/>
          <w:sz w:val="32"/>
          <w:szCs w:val="32"/>
          <w:lang w:val="en-US" w:eastAsia="zh-CN"/>
        </w:rPr>
        <w:t>无法办理相关证照</w:t>
      </w:r>
      <w:r>
        <w:rPr>
          <w:rFonts w:hint="eastAsia" w:ascii="仿宋_GB2312" w:eastAsia="仿宋_GB2312"/>
          <w:sz w:val="32"/>
          <w:szCs w:val="32"/>
        </w:rPr>
        <w:t>。</w:t>
      </w:r>
    </w:p>
    <w:p w14:paraId="7A6AF8E6">
      <w:pPr>
        <w:keepNext w:val="0"/>
        <w:keepLines w:val="0"/>
        <w:pageBreakBefore w:val="0"/>
        <w:widowControl w:val="0"/>
        <w:kinsoku/>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上述事实，主要有以下证据证明：</w:t>
      </w:r>
      <w:bookmarkStart w:id="1" w:name="_Hlk180739799"/>
      <w:r>
        <w:rPr>
          <w:rFonts w:hint="eastAsia" w:ascii="仿宋_GB2312" w:hAnsi="仿宋_GB2312" w:eastAsia="仿宋_GB2312" w:cs="仿宋_GB2312"/>
          <w:sz w:val="32"/>
          <w:szCs w:val="32"/>
          <w:lang w:val="en-US" w:eastAsia="zh-CN"/>
        </w:rPr>
        <w:t>网络餐饮检查汇总表东石所、</w:t>
      </w:r>
      <w:r>
        <w:rPr>
          <w:rFonts w:hint="eastAsia" w:ascii="仿宋_GB2312" w:hAnsi="仿宋_GB2312" w:eastAsia="仿宋_GB2312" w:cs="仿宋_GB2312"/>
          <w:sz w:val="32"/>
          <w:szCs w:val="32"/>
        </w:rPr>
        <w:t>现场笔录、现场照片</w:t>
      </w:r>
      <w:bookmarkEnd w:id="1"/>
      <w:r>
        <w:rPr>
          <w:rFonts w:hint="eastAsia" w:ascii="仿宋_GB2312" w:hAnsi="仿宋" w:eastAsia="仿宋_GB2312" w:cs="仿宋_GB2312"/>
          <w:color w:val="000000"/>
          <w:sz w:val="32"/>
          <w:szCs w:val="32"/>
          <w:lang w:eastAsia="zh-CN"/>
        </w:rPr>
        <w:t>、</w:t>
      </w:r>
      <w:bookmarkStart w:id="2" w:name="_Hlk180739807"/>
      <w:r>
        <w:rPr>
          <w:rFonts w:hint="eastAsia" w:ascii="仿宋_GB2312" w:hAnsi="仿宋_GB2312" w:eastAsia="仿宋_GB2312" w:cs="仿宋_GB2312"/>
          <w:sz w:val="32"/>
          <w:szCs w:val="32"/>
        </w:rPr>
        <w:t>询问笔录</w:t>
      </w:r>
      <w:bookmarkEnd w:id="2"/>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福建省人民政府关于印发《福建省市场主体住所（经营场所）登记管理办法》的通知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福建省生产监管智慧应用一体化平台地址查询截图</w:t>
      </w:r>
      <w:r>
        <w:rPr>
          <w:rFonts w:hint="eastAsia" w:ascii="仿宋_GB2312" w:hAnsi="仿宋_GB2312" w:eastAsia="仿宋_GB2312" w:cs="仿宋_GB2312"/>
          <w:color w:val="000000"/>
          <w:sz w:val="32"/>
          <w:szCs w:val="32"/>
        </w:rPr>
        <w:t>、</w:t>
      </w:r>
      <w:bookmarkStart w:id="3" w:name="_Hlk180739814"/>
      <w:r>
        <w:rPr>
          <w:rFonts w:hint="eastAsia" w:ascii="仿宋_GB2312" w:hAnsi="仿宋_GB2312" w:eastAsia="仿宋_GB2312" w:cs="仿宋_GB2312"/>
          <w:sz w:val="32"/>
          <w:szCs w:val="32"/>
        </w:rPr>
        <w:t>营业执照复印件、</w:t>
      </w:r>
      <w:r>
        <w:rPr>
          <w:rFonts w:hint="eastAsia" w:ascii="仿宋_GB2312" w:hAnsi="仿宋_GB2312" w:eastAsia="仿宋_GB2312" w:cs="仿宋_GB2312"/>
          <w:sz w:val="32"/>
          <w:szCs w:val="32"/>
          <w:lang w:val="en-US" w:eastAsia="zh-CN"/>
        </w:rPr>
        <w:t>食品经营许可证</w:t>
      </w:r>
      <w:r>
        <w:rPr>
          <w:rFonts w:hint="eastAsia" w:ascii="仿宋_GB2312" w:hAnsi="仿宋_GB2312" w:eastAsia="仿宋_GB2312" w:cs="仿宋_GB2312"/>
          <w:sz w:val="32"/>
          <w:szCs w:val="32"/>
        </w:rPr>
        <w:t>复印件、身份证复印件</w:t>
      </w:r>
      <w:bookmarkEnd w:id="3"/>
      <w:r>
        <w:rPr>
          <w:rFonts w:hint="eastAsia" w:ascii="仿宋_GB2312" w:hAnsi="仿宋_GB2312" w:eastAsia="仿宋_GB2312" w:cs="仿宋_GB2312"/>
          <w:color w:val="000000"/>
          <w:sz w:val="32"/>
          <w:szCs w:val="32"/>
          <w:lang w:eastAsia="zh-CN"/>
        </w:rPr>
        <w:t>、</w:t>
      </w:r>
      <w:r>
        <w:rPr>
          <w:rFonts w:hint="eastAsia" w:ascii="仿宋_GB2312" w:hAnsi="宋体" w:eastAsia="仿宋_GB2312" w:cs="仿宋_GB2312"/>
          <w:sz w:val="32"/>
          <w:szCs w:val="32"/>
          <w:lang w:val="en-US" w:eastAsia="zh-CN"/>
        </w:rPr>
        <w:t>实施行政强制措施决定书</w:t>
      </w:r>
      <w:r>
        <w:rPr>
          <w:rFonts w:hint="eastAsia" w:ascii="仿宋_GB2312" w:hAnsi="宋体" w:eastAsia="仿宋_GB2312" w:cs="仿宋_GB2312"/>
          <w:sz w:val="32"/>
          <w:szCs w:val="32"/>
        </w:rPr>
        <w:t>、财物清单、扣押视频</w:t>
      </w:r>
      <w:r>
        <w:rPr>
          <w:rFonts w:hint="eastAsia" w:ascii="仿宋_GB2312" w:hAnsi="仿宋" w:eastAsia="仿宋_GB2312" w:cs="仿宋_GB2312"/>
          <w:color w:val="000000"/>
          <w:sz w:val="32"/>
          <w:szCs w:val="32"/>
          <w:lang w:val="en-US" w:eastAsia="zh-CN"/>
        </w:rPr>
        <w:t>等证据证明材料</w:t>
      </w:r>
      <w:r>
        <w:rPr>
          <w:rFonts w:hint="eastAsia" w:ascii="仿宋_GB2312" w:hAnsi="仿宋_GB2312" w:eastAsia="仿宋_GB2312" w:cs="仿宋_GB2312"/>
          <w:sz w:val="32"/>
          <w:szCs w:val="32"/>
        </w:rPr>
        <w:t>。</w:t>
      </w:r>
    </w:p>
    <w:p w14:paraId="74DB9812">
      <w:pPr>
        <w:keepNext w:val="0"/>
        <w:keepLines w:val="0"/>
        <w:pageBreakBefore w:val="0"/>
        <w:widowControl w:val="0"/>
        <w:kinsoku/>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日，本局向当事人送达了《行政处罚告知书》(晋市监罚告〔202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〕07-</w:t>
      </w:r>
      <w:r>
        <w:rPr>
          <w:rFonts w:hint="eastAsia" w:ascii="仿宋_GB2312" w:hAnsi="仿宋_GB2312" w:eastAsia="仿宋_GB2312" w:cs="仿宋_GB2312"/>
          <w:sz w:val="32"/>
          <w:szCs w:val="32"/>
          <w:lang w:val="en-US" w:eastAsia="zh-CN"/>
        </w:rPr>
        <w:t>430</w:t>
      </w:r>
      <w:r>
        <w:rPr>
          <w:rFonts w:hint="eastAsia" w:ascii="仿宋_GB2312" w:hAnsi="仿宋_GB2312" w:eastAsia="仿宋_GB2312" w:cs="仿宋_GB2312"/>
          <w:sz w:val="32"/>
          <w:szCs w:val="32"/>
        </w:rPr>
        <w:t>号)，当事人在法定期限内未提出陈述和申辩意见。</w:t>
      </w:r>
    </w:p>
    <w:p w14:paraId="442765A6">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综上所述，本局认为：当事人市场主体登记事项发生变更时未依法办理变更登记的行为，违反了《中华人民共和国市场主体登记管理条例》第二十四条第一款的规定；当事人未取得登记证书从事小餐饮服务的行为，违反了《福建省食品安全条例》第六十七条第一款的规定</w:t>
      </w:r>
      <w:r>
        <w:rPr>
          <w:rFonts w:hint="eastAsia" w:ascii="仿宋_GB2312" w:hAnsi="仿宋_GB2312" w:eastAsia="仿宋_GB2312" w:cs="仿宋_GB2312"/>
          <w:sz w:val="32"/>
          <w:szCs w:val="32"/>
          <w:lang w:eastAsia="zh-CN"/>
        </w:rPr>
        <w:t>。</w:t>
      </w:r>
    </w:p>
    <w:p w14:paraId="42316537">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宋体" w:eastAsia="仿宋_GB2312" w:cs="仿宋_GB2312"/>
          <w:sz w:val="32"/>
          <w:szCs w:val="32"/>
        </w:rPr>
        <w:t>因当事人</w:t>
      </w:r>
      <w:r>
        <w:rPr>
          <w:rFonts w:hint="eastAsia" w:ascii="仿宋_GB2312" w:hAnsi="仿宋_GB2312" w:eastAsia="仿宋_GB2312" w:cs="仿宋_GB2312"/>
          <w:sz w:val="32"/>
          <w:szCs w:val="32"/>
          <w:lang w:val="en-US" w:eastAsia="zh-CN"/>
        </w:rPr>
        <w:t>实际经营地址</w:t>
      </w:r>
      <w:r>
        <w:rPr>
          <w:rFonts w:hint="eastAsia" w:ascii="仿宋_GB2312" w:hAnsi="仿宋_GB2312" w:eastAsia="仿宋_GB2312" w:cs="仿宋_GB2312"/>
          <w:sz w:val="32"/>
          <w:szCs w:val="32"/>
          <w:lang w:eastAsia="zh-CN"/>
        </w:rPr>
        <w:t>在住建局下发的石结构名单内</w:t>
      </w:r>
      <w:r>
        <w:rPr>
          <w:rFonts w:hint="eastAsia" w:ascii="仿宋_GB2312" w:hAnsi="仿宋_GB2312" w:eastAsia="仿宋_GB2312" w:cs="仿宋_GB2312"/>
          <w:sz w:val="32"/>
          <w:szCs w:val="32"/>
          <w:lang w:val="en-US" w:eastAsia="zh-CN"/>
        </w:rPr>
        <w:t>无法办理变更登记</w:t>
      </w:r>
      <w:r>
        <w:rPr>
          <w:rFonts w:hint="eastAsia" w:ascii="仿宋_GB2312" w:hAnsi="宋体" w:eastAsia="仿宋_GB2312" w:cs="仿宋_GB2312"/>
          <w:sz w:val="32"/>
          <w:szCs w:val="32"/>
          <w:lang w:val="en-US" w:eastAsia="zh-CN"/>
        </w:rPr>
        <w:t>，</w:t>
      </w:r>
      <w:r>
        <w:rPr>
          <w:rFonts w:hint="eastAsia" w:ascii="仿宋_GB2312" w:hAnsi="仿宋_GB2312" w:eastAsia="仿宋_GB2312" w:cs="仿宋_GB2312"/>
          <w:sz w:val="32"/>
          <w:szCs w:val="32"/>
        </w:rPr>
        <w:t>市场主体登记事项发生变更时未依法办理变更登记</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lang w:eastAsia="zh-CN"/>
        </w:rPr>
        <w:t>未取得登记证书从事小餐饮服务的行为</w:t>
      </w:r>
      <w:r>
        <w:rPr>
          <w:rFonts w:hint="eastAsia" w:ascii="仿宋_GB2312" w:hAnsi="仿宋_GB2312" w:eastAsia="仿宋_GB2312" w:cs="仿宋_GB2312"/>
          <w:sz w:val="32"/>
          <w:szCs w:val="32"/>
          <w:lang w:val="en-US" w:eastAsia="zh-CN"/>
        </w:rPr>
        <w:t>均</w:t>
      </w:r>
      <w:r>
        <w:rPr>
          <w:rFonts w:hint="eastAsia" w:ascii="仿宋_GB2312" w:hAnsi="宋体" w:eastAsia="仿宋_GB2312" w:cs="仿宋_GB2312"/>
          <w:sz w:val="32"/>
          <w:szCs w:val="32"/>
        </w:rPr>
        <w:t>不符合不予处罚适用条件</w:t>
      </w:r>
      <w:r>
        <w:rPr>
          <w:rFonts w:hint="eastAsia" w:ascii="仿宋_GB2312" w:hAnsi="仿宋_GB2312" w:eastAsia="仿宋_GB2312" w:cs="仿宋_GB2312"/>
          <w:sz w:val="32"/>
          <w:szCs w:val="32"/>
          <w:lang w:eastAsia="zh-CN"/>
        </w:rPr>
        <w:t>。鉴于当事人积极配合市场监督管理部门调查，如实陈述违法事实并主动提供证据材料的，属于《福建省市场监督管理行政处罚裁量权适用规则》第十一条第二项规定的从轻情节情形。参照《福建省市场监督管理系统适用&lt;福建省食品安全条例&gt;行政处罚裁量基准》条款代号FJSP-18予以从轻情节量罚。</w:t>
      </w:r>
    </w:p>
    <w:p w14:paraId="712DD9EC">
      <w:pPr>
        <w:keepNext w:val="0"/>
        <w:keepLines w:val="0"/>
        <w:pageBreakBefore w:val="0"/>
        <w:numPr>
          <w:ilvl w:val="0"/>
          <w:numId w:val="0"/>
        </w:numPr>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SA"/>
        </w:rPr>
        <w:t>一、</w:t>
      </w:r>
      <w:r>
        <w:rPr>
          <w:rFonts w:hint="eastAsia" w:ascii="仿宋_GB2312" w:hAnsi="仿宋_GB2312" w:eastAsia="仿宋_GB2312" w:cs="仿宋_GB2312"/>
          <w:sz w:val="32"/>
          <w:szCs w:val="32"/>
        </w:rPr>
        <w:t>对当事人市场主体登记事项发生变更时未依法办理变更登记的行为，依据《中华人民共和国市场主体登记管理条例》第四十六条的规定，本局责令当事人改正上述违法行为；</w:t>
      </w:r>
    </w:p>
    <w:p w14:paraId="48D4E92E">
      <w:pPr>
        <w:keepNext w:val="0"/>
        <w:keepLines w:val="0"/>
        <w:pageBreakBefore w:val="0"/>
        <w:numPr>
          <w:ilvl w:val="0"/>
          <w:numId w:val="0"/>
        </w:numPr>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二、对当事人未取得登记证书从事小餐饮服务的行为，依据《福建省食品安全条例》第一百一十二条第二款的规定，本局</w:t>
      </w:r>
      <w:r>
        <w:rPr>
          <w:rFonts w:hint="eastAsia" w:ascii="仿宋_GB2312" w:hAnsi="仿宋_GB2312" w:eastAsia="仿宋_GB2312" w:cs="仿宋_GB2312"/>
          <w:sz w:val="32"/>
          <w:szCs w:val="32"/>
          <w:lang w:val="en-US" w:eastAsia="zh-CN"/>
        </w:rPr>
        <w:t>决定</w:t>
      </w:r>
      <w:r>
        <w:rPr>
          <w:rFonts w:hint="eastAsia" w:ascii="仿宋_GB2312" w:hAnsi="仿宋_GB2312" w:eastAsia="仿宋_GB2312" w:cs="仿宋_GB2312"/>
          <w:sz w:val="32"/>
          <w:szCs w:val="32"/>
        </w:rPr>
        <w:t>作出处罚如下：</w:t>
      </w:r>
    </w:p>
    <w:p w14:paraId="36566E6F">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1、没收违法经营工具奶茶桶1个、小料桶1个、勺子1个、20个一次性奶茶杯；</w:t>
      </w:r>
    </w:p>
    <w:p w14:paraId="753D2CEE">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2、没收违法所得485元；</w:t>
      </w:r>
    </w:p>
    <w:p w14:paraId="7A07204E">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3、处以罚款2000元。</w:t>
      </w:r>
    </w:p>
    <w:p w14:paraId="3B208AB8">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合计罚没款共2485元。当事人应当自收到本决定书之日起十五日内，持福建省政府非税收入缴款通知书（缴款码）到银行网点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5B3E6CFA">
      <w:pPr>
        <w:keepNext w:val="0"/>
        <w:keepLines w:val="0"/>
        <w:pageBreakBefore w:val="0"/>
        <w:widowControl w:val="0"/>
        <w:kinsoku/>
        <w:wordWrap/>
        <w:overflowPunct/>
        <w:topLinePunct w:val="0"/>
        <w:autoSpaceDE w:val="0"/>
        <w:autoSpaceDN w:val="0"/>
        <w:adjustRightInd w:val="0"/>
        <w:snapToGrid w:val="0"/>
        <w:spacing w:line="52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当事人如对本行政处罚决定不服，可在接到本行政处罚决定书之日起六十日内向晋江市人民政府申请复议，也可以六个月内依法向</w:t>
      </w:r>
      <w:r>
        <w:rPr>
          <w:rFonts w:hint="eastAsia" w:ascii="仿宋_GB2312" w:hAnsi="仿宋_GB2312" w:eastAsia="仿宋_GB2312" w:cs="仿宋_GB2312"/>
          <w:sz w:val="32"/>
          <w:szCs w:val="32"/>
          <w:lang w:val="en-US" w:eastAsia="zh-CN"/>
        </w:rPr>
        <w:t>泉州市洛江区</w:t>
      </w:r>
      <w:r>
        <w:rPr>
          <w:rFonts w:hint="eastAsia" w:ascii="仿宋_GB2312" w:hAnsi="仿宋_GB2312" w:eastAsia="仿宋_GB2312" w:cs="仿宋_GB2312"/>
          <w:sz w:val="32"/>
          <w:szCs w:val="32"/>
        </w:rPr>
        <w:t>人民法院提起行政诉讼。当事人对行政处罚决定不服而申请行政复议或者提起行政诉讼期间，行政处罚不停止执行，法律、法规、规章另有规定的，从其规定。</w:t>
      </w:r>
    </w:p>
    <w:p w14:paraId="17C556A0">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_GB2312" w:hAnsi="仿宋_GB2312" w:eastAsia="仿宋_GB2312" w:cs="仿宋_GB2312"/>
          <w:sz w:val="32"/>
          <w:szCs w:val="32"/>
        </w:rPr>
      </w:pPr>
    </w:p>
    <w:p w14:paraId="33926B51">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_GB2312" w:hAnsi="仿宋_GB2312" w:eastAsia="仿宋_GB2312" w:cs="仿宋_GB2312"/>
          <w:sz w:val="32"/>
          <w:szCs w:val="32"/>
        </w:rPr>
      </w:pPr>
    </w:p>
    <w:p w14:paraId="5E102217">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_GB2312" w:hAnsi="仿宋_GB2312" w:eastAsia="仿宋_GB2312" w:cs="仿宋_GB2312"/>
          <w:sz w:val="32"/>
          <w:szCs w:val="32"/>
        </w:rPr>
      </w:pPr>
    </w:p>
    <w:p w14:paraId="1CB15DB6">
      <w:pPr>
        <w:keepNext w:val="0"/>
        <w:keepLines w:val="0"/>
        <w:pageBreakBefore w:val="0"/>
        <w:widowControl w:val="0"/>
        <w:tabs>
          <w:tab w:val="left" w:pos="5667"/>
        </w:tabs>
        <w:wordWrap/>
        <w:overflowPunct/>
        <w:topLinePunct w:val="0"/>
        <w:autoSpaceDE w:val="0"/>
        <w:autoSpaceDN w:val="0"/>
        <w:bidi/>
        <w:adjustRightInd w:val="0"/>
        <w:snapToGrid w:val="0"/>
        <w:spacing w:line="520" w:lineRule="exact"/>
        <w:ind w:right="840" w:rightChars="4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晋江市市场监督管理局   </w:t>
      </w:r>
    </w:p>
    <w:p w14:paraId="52972CC1">
      <w:pPr>
        <w:keepNext w:val="0"/>
        <w:keepLines w:val="0"/>
        <w:pageBreakBefore w:val="0"/>
        <w:widowControl w:val="0"/>
        <w:wordWrap/>
        <w:overflowPunct/>
        <w:topLinePunct w:val="0"/>
        <w:autoSpaceDE w:val="0"/>
        <w:autoSpaceDN w:val="0"/>
        <w:bidi/>
        <w:adjustRightInd w:val="0"/>
        <w:snapToGrid w:val="0"/>
        <w:spacing w:line="520" w:lineRule="exact"/>
        <w:ind w:right="840" w:rightChars="400"/>
        <w:textAlignment w:val="baseline"/>
        <w:rPr>
          <w:rFonts w:ascii="仿宋" w:hAnsi="仿宋" w:eastAsia="仿宋" w:cs="仿宋"/>
          <w:sz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r>
        <w:rPr>
          <w:rFonts w:hint="eastAsia" w:ascii="仿宋" w:hAnsi="仿宋" w:eastAsia="仿宋" w:cs="仿宋"/>
          <w:sz w:val="32"/>
          <w:szCs w:val="32"/>
        </w:rPr>
        <w:t xml:space="preserve"> </w:t>
      </w:r>
      <w:r>
        <w:rPr>
          <w:rFonts w:hint="eastAsia" w:ascii="仿宋" w:hAnsi="仿宋" w:eastAsia="仿宋" w:cs="仿宋"/>
          <w:sz w:val="32"/>
        </w:rPr>
        <w:t xml:space="preserve">  </w:t>
      </w:r>
      <w:r>
        <w:rPr>
          <w:rFonts w:ascii="仿宋" w:hAnsi="仿宋" w:eastAsia="仿宋" w:cs="仿宋"/>
          <w:sz w:val="32"/>
        </w:rPr>
        <w:t xml:space="preserve">   </w:t>
      </w:r>
    </w:p>
    <w:p w14:paraId="021351CF">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both"/>
        <w:textAlignment w:val="baseline"/>
        <w:rPr>
          <w:rFonts w:ascii="仿宋" w:hAnsi="仿宋" w:eastAsia="仿宋" w:cs="仿宋"/>
          <w:sz w:val="32"/>
        </w:rPr>
      </w:pPr>
    </w:p>
    <w:p w14:paraId="0A0B2C17">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755E7EE1">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0E611032">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46B05518">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5D886EB8">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6E77EB65">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bookmarkStart w:id="4" w:name="_GoBack"/>
      <w:bookmarkEnd w:id="4"/>
    </w:p>
    <w:p w14:paraId="56E2E3BE">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center"/>
        <w:textAlignment w:val="baseline"/>
        <w:rPr>
          <w:rFonts w:ascii="仿宋" w:hAnsi="仿宋" w:eastAsia="仿宋" w:cs="仿宋"/>
          <w:sz w:val="32"/>
        </w:rPr>
      </w:pPr>
    </w:p>
    <w:p w14:paraId="4CB74ADE">
      <w:pPr>
        <w:keepNext w:val="0"/>
        <w:keepLines w:val="0"/>
        <w:pageBreakBefore w:val="0"/>
        <w:widowControl w:val="0"/>
        <w:wordWrap/>
        <w:overflowPunct/>
        <w:topLinePunct w:val="0"/>
        <w:autoSpaceDE w:val="0"/>
        <w:autoSpaceDN w:val="0"/>
        <w:bidi/>
        <w:adjustRightInd w:val="0"/>
        <w:snapToGrid w:val="0"/>
        <w:spacing w:line="480" w:lineRule="exact"/>
        <w:ind w:right="840" w:rightChars="400"/>
        <w:jc w:val="both"/>
        <w:textAlignment w:val="baseline"/>
        <w:rPr>
          <w:rFonts w:ascii="仿宋" w:hAnsi="仿宋" w:eastAsia="仿宋" w:cs="仿宋"/>
          <w:sz w:val="32"/>
        </w:rPr>
      </w:pPr>
    </w:p>
    <w:p w14:paraId="43B67568">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14:paraId="49C2EE4C">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0A4E7E95">
      <w:pPr>
        <w:spacing w:before="106" w:line="183" w:lineRule="auto"/>
        <w:ind w:firstLine="231"/>
        <w:rPr>
          <w:rFonts w:eastAsiaTheme="minorEastAsia"/>
        </w:rPr>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39F0D">
    <w:pPr>
      <w:spacing w:line="196" w:lineRule="exact"/>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55A2E">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0057FC"/>
    <w:rsid w:val="000F1723"/>
    <w:rsid w:val="00296E1B"/>
    <w:rsid w:val="002B4ED3"/>
    <w:rsid w:val="00352CCA"/>
    <w:rsid w:val="0039330B"/>
    <w:rsid w:val="003B7C5A"/>
    <w:rsid w:val="003F4037"/>
    <w:rsid w:val="004214BB"/>
    <w:rsid w:val="005A391A"/>
    <w:rsid w:val="005A4074"/>
    <w:rsid w:val="006470B5"/>
    <w:rsid w:val="00696CCB"/>
    <w:rsid w:val="006A1A87"/>
    <w:rsid w:val="006E50BE"/>
    <w:rsid w:val="00763327"/>
    <w:rsid w:val="007954B7"/>
    <w:rsid w:val="0087371B"/>
    <w:rsid w:val="008C7E35"/>
    <w:rsid w:val="008D5826"/>
    <w:rsid w:val="008F42EB"/>
    <w:rsid w:val="009661F9"/>
    <w:rsid w:val="00970AFF"/>
    <w:rsid w:val="00A17D00"/>
    <w:rsid w:val="00AA7B33"/>
    <w:rsid w:val="00AB12FC"/>
    <w:rsid w:val="00AC1351"/>
    <w:rsid w:val="00AD5901"/>
    <w:rsid w:val="00AE7F13"/>
    <w:rsid w:val="00B5108B"/>
    <w:rsid w:val="00C138F6"/>
    <w:rsid w:val="00C9649C"/>
    <w:rsid w:val="00CD1F53"/>
    <w:rsid w:val="00D349DA"/>
    <w:rsid w:val="00D528AB"/>
    <w:rsid w:val="00DC6C6B"/>
    <w:rsid w:val="00E61D5E"/>
    <w:rsid w:val="00E65DF8"/>
    <w:rsid w:val="00E93293"/>
    <w:rsid w:val="00E95A6F"/>
    <w:rsid w:val="00EB2CE8"/>
    <w:rsid w:val="00F618DB"/>
    <w:rsid w:val="00FF6FFF"/>
    <w:rsid w:val="03E5345E"/>
    <w:rsid w:val="08D471C8"/>
    <w:rsid w:val="0B2D0B12"/>
    <w:rsid w:val="0CDD2D53"/>
    <w:rsid w:val="0FE840DA"/>
    <w:rsid w:val="146156DC"/>
    <w:rsid w:val="15596417"/>
    <w:rsid w:val="17860DB7"/>
    <w:rsid w:val="214D6B05"/>
    <w:rsid w:val="280B19D9"/>
    <w:rsid w:val="289317C1"/>
    <w:rsid w:val="2A121419"/>
    <w:rsid w:val="2AA40F76"/>
    <w:rsid w:val="2D183B14"/>
    <w:rsid w:val="2F1D7756"/>
    <w:rsid w:val="30C234F3"/>
    <w:rsid w:val="35AD1356"/>
    <w:rsid w:val="366E0655"/>
    <w:rsid w:val="3864140F"/>
    <w:rsid w:val="3BF300B6"/>
    <w:rsid w:val="3C1712AB"/>
    <w:rsid w:val="3F1F1EA4"/>
    <w:rsid w:val="46E854B2"/>
    <w:rsid w:val="4CFB6B50"/>
    <w:rsid w:val="4E613A60"/>
    <w:rsid w:val="509A5612"/>
    <w:rsid w:val="53D14275"/>
    <w:rsid w:val="53FB1FA3"/>
    <w:rsid w:val="54753211"/>
    <w:rsid w:val="56840BD5"/>
    <w:rsid w:val="582C02E0"/>
    <w:rsid w:val="5CD44F12"/>
    <w:rsid w:val="5F5B3E9C"/>
    <w:rsid w:val="60541048"/>
    <w:rsid w:val="655B4AB8"/>
    <w:rsid w:val="689B5AF6"/>
    <w:rsid w:val="6B7302B5"/>
    <w:rsid w:val="6BF056FE"/>
    <w:rsid w:val="735B1232"/>
    <w:rsid w:val="74886B4A"/>
    <w:rsid w:val="755016F0"/>
    <w:rsid w:val="76F91EFF"/>
    <w:rsid w:val="79C77AB2"/>
    <w:rsid w:val="7D012288"/>
    <w:rsid w:val="7D4A380C"/>
    <w:rsid w:val="7E4F29BF"/>
    <w:rsid w:val="7E6E123D"/>
    <w:rsid w:val="7EC8390A"/>
    <w:rsid w:val="7FCD5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10"/>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Normal (Web)"/>
    <w:basedOn w:val="1"/>
    <w:qFormat/>
    <w:uiPriority w:val="0"/>
    <w:pPr>
      <w:spacing w:before="100" w:beforeAutospacing="1" w:after="100" w:afterAutospacing="1"/>
      <w:ind w:firstLine="200" w:firstLineChars="200"/>
      <w:jc w:val="left"/>
    </w:pPr>
    <w:rPr>
      <w:kern w:val="0"/>
      <w:sz w:val="24"/>
      <w:szCs w:val="24"/>
    </w:rPr>
  </w:style>
  <w:style w:type="paragraph" w:styleId="7">
    <w:name w:val="Title"/>
    <w:basedOn w:val="1"/>
    <w:next w:val="1"/>
    <w:link w:val="12"/>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标题 字符"/>
    <w:basedOn w:val="9"/>
    <w:link w:val="7"/>
    <w:qFormat/>
    <w:uiPriority w:val="0"/>
    <w:rPr>
      <w:rFonts w:ascii="Microsoft JhengHei" w:hAnsi="Microsoft JhengHei" w:eastAsia="Microsoft JhengHei" w:cs="Microsoft JhengHei"/>
      <w:snapToGrid w:val="0"/>
      <w:color w:val="000000"/>
      <w:spacing w:val="-2"/>
      <w:kern w:val="0"/>
      <w:sz w:val="44"/>
      <w:szCs w:val="44"/>
    </w:rPr>
  </w:style>
  <w:style w:type="character" w:customStyle="1" w:styleId="13">
    <w:name w:val="批注框文本 字符"/>
    <w:basedOn w:val="9"/>
    <w:link w:val="3"/>
    <w:semiHidden/>
    <w:qFormat/>
    <w:uiPriority w:val="99"/>
    <w:rPr>
      <w:rFonts w:ascii="Arial" w:hAnsi="Arial" w:eastAsia="Arial" w:cs="Arial"/>
      <w:snapToGrid w:val="0"/>
      <w:color w:val="000000"/>
      <w:kern w:val="0"/>
      <w:sz w:val="18"/>
      <w:szCs w:val="18"/>
    </w:rPr>
  </w:style>
  <w:style w:type="character" w:customStyle="1" w:styleId="14">
    <w:name w:val="日期 字符"/>
    <w:basedOn w:val="9"/>
    <w:link w:val="2"/>
    <w:semiHidden/>
    <w:qFormat/>
    <w:uiPriority w:val="99"/>
    <w:rPr>
      <w:rFonts w:ascii="Arial" w:hAnsi="Arial" w:eastAsia="Arial" w:cs="Arial"/>
      <w:snapToGrid w:val="0"/>
      <w:color w:val="000000"/>
      <w:kern w:val="0"/>
      <w:szCs w:val="21"/>
    </w:rPr>
  </w:style>
  <w:style w:type="character" w:customStyle="1" w:styleId="15">
    <w:name w:val="样式 仿宋_GB2312"/>
    <w:basedOn w:val="9"/>
    <w:qFormat/>
    <w:uiPriority w:val="0"/>
    <w:rPr>
      <w:rFonts w:ascii="仿宋_GB2312" w:hAnsi="仿宋_GB2312" w:eastAsia="仿宋_GB2312"/>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248</Words>
  <Characters>1417</Characters>
  <Lines>11</Lines>
  <Paragraphs>3</Paragraphs>
  <TotalTime>2</TotalTime>
  <ScaleCrop>false</ScaleCrop>
  <LinksUpToDate>false</LinksUpToDate>
  <CharactersWithSpaces>1662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王雅芬</cp:lastModifiedBy>
  <cp:lastPrinted>2026-08-11T01:13:00Z</cp:lastPrinted>
  <dcterms:modified xsi:type="dcterms:W3CDTF">2026-08-31T01:34:04Z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eyJoZGlkIjoiODlmOWQwMjk0ZjYzMTA3NjVmMThiMTc1OTU0MmY1NzkifQ==</vt:lpwstr>
  </property>
  <property fmtid="{D5CDD505-2E9C-101B-9397-08002B2CF9AE}" pid="3" name="KSOProductBuildVer">
    <vt:lpwstr>2052-12.1.0.25865</vt:lpwstr>
  </property>
  <property fmtid="{D5CDD505-2E9C-101B-9397-08002B2CF9AE}" pid="4" name="ICV">
    <vt:lpwstr>B07A6FFFD0AB4DE8BCA5C69EA79165B8_12</vt:lpwstr>
  </property>
</Properties>
</file>